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bookmarkStart w:id="0" w:name="_GoBack"/>
    <w:bookmarkEnd w:id="0"/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6643B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Pr="00E06F9A">
          <w:rPr>
            <w:rStyle w:val="ae"/>
          </w:rPr>
          <w:t>Методические материалы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_Toc7169973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1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1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43BE">
        <w:rPr>
          <w:sz w:val="24"/>
          <w:szCs w:val="24"/>
          <w:highlight w:val="yellow"/>
        </w:rPr>
        <w:t>Аннотаци</w:t>
      </w:r>
      <w:r w:rsidR="006643BE" w:rsidRPr="006643BE">
        <w:rPr>
          <w:sz w:val="24"/>
          <w:szCs w:val="24"/>
          <w:highlight w:val="yellow"/>
        </w:rPr>
        <w:t>я</w:t>
      </w:r>
      <w:r w:rsidRPr="006643BE">
        <w:rPr>
          <w:sz w:val="24"/>
          <w:szCs w:val="24"/>
          <w:highlight w:val="yellow"/>
        </w:rPr>
        <w:t xml:space="preserve"> </w:t>
      </w:r>
      <w:r w:rsidR="006643BE" w:rsidRPr="006643BE">
        <w:rPr>
          <w:sz w:val="24"/>
          <w:szCs w:val="24"/>
          <w:highlight w:val="yellow"/>
        </w:rPr>
        <w:t>ГИА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Электроматериаловедение, физика и техника электрической изоляции, кабелей и электроконденсаторостроенния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4F998-88D3-4422-9006-9BD7A0BA1F8B}"/>
</file>

<file path=customXml/itemProps2.xml><?xml version="1.0" encoding="utf-8"?>
<ds:datastoreItem xmlns:ds="http://schemas.openxmlformats.org/officeDocument/2006/customXml" ds:itemID="{27AC29F8-6CCF-4E91-9B7A-65DA098E597B}"/>
</file>

<file path=customXml/itemProps3.xml><?xml version="1.0" encoding="utf-8"?>
<ds:datastoreItem xmlns:ds="http://schemas.openxmlformats.org/officeDocument/2006/customXml" ds:itemID="{152B0758-C797-4779-9048-CD2B20AD7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257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Макаревич Елена Владимировна</cp:lastModifiedBy>
  <cp:revision>3</cp:revision>
  <cp:lastPrinted>2017-07-13T09:51:00Z</cp:lastPrinted>
  <dcterms:created xsi:type="dcterms:W3CDTF">2019-04-26T08:18:00Z</dcterms:created>
  <dcterms:modified xsi:type="dcterms:W3CDTF">2019-04-26T08:19:00Z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68200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